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壹仟陆佰零捌</w:t>
      </w:r>
      <w:bookmarkStart w:id="0" w:name="_GoBack"/>
      <w:bookmarkEnd w:id="0"/>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1608</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惠城区水口新民洛塘片区JD114-14地块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壹万壹仟陆</w:t>
      </w:r>
      <w:r>
        <w:rPr>
          <w:rFonts w:hint="eastAsia" w:ascii="仿宋_GB2312" w:hAnsi="宋体" w:eastAsia="仿宋_GB2312" w:cs="仿宋_GB2312"/>
          <w:u w:val="single"/>
          <w:lang w:eastAsia="zh-CN"/>
        </w:rPr>
        <w:t>佰</w:t>
      </w:r>
      <w:r>
        <w:rPr>
          <w:rFonts w:hint="eastAsia" w:ascii="仿宋_GB2312" w:hAnsi="宋体" w:eastAsia="仿宋_GB2312" w:cs="仿宋_GB2312"/>
          <w:u w:val="single"/>
          <w:lang w:val="en-US" w:eastAsia="zh-CN"/>
        </w:rPr>
        <w:t>玖拾叁</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11693</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1.4</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hint="default" w:ascii="仿宋_GB2312" w:hAnsi="宋体" w:eastAsia="仿宋_GB2312" w:cs="Times New Roman"/>
          <w:u w:val="single"/>
          <w:lang w:val="en-US" w:eastAsia="zh-C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仿宋_GB2312" w:eastAsia="仿宋_GB2312" w:cs="仿宋_GB2312"/>
          <w:kern w:val="2"/>
          <w:sz w:val="32"/>
          <w:szCs w:val="32"/>
          <w:u w:val="single"/>
          <w:lang w:val="en-US" w:eastAsia="zh-CN" w:bidi="ar-SA"/>
        </w:rPr>
        <w:t>竞得人在用地红线内开发建设必须符合城市规划要求，必须按《关于惠州市新民洛塘片区JD114-14地块内1608平方米用地规划要点的说明》（编号：惠市自然资函（惠城）〔2021〕123号）的规划控制指标要求及有关规定进行规划设计。</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2D700E8D"/>
    <w:rsid w:val="2F742992"/>
    <w:rsid w:val="33B14CB2"/>
    <w:rsid w:val="39B638AB"/>
    <w:rsid w:val="50FE606D"/>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2021-10-15T07:34:26Z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